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22E0" w14:textId="20F73B44" w:rsidR="009D62AB" w:rsidRPr="00E174A2" w:rsidRDefault="009D62AB" w:rsidP="009D62AB">
      <w:pPr>
        <w:jc w:val="center"/>
        <w:rPr>
          <w:b/>
          <w:sz w:val="28"/>
          <w:szCs w:val="28"/>
          <w:lang w:val="sq-AL"/>
        </w:rPr>
      </w:pPr>
      <w:bookmarkStart w:id="0" w:name="_GoBack"/>
      <w:bookmarkEnd w:id="0"/>
      <w:r w:rsidRPr="00E174A2">
        <w:rPr>
          <w:b/>
          <w:sz w:val="28"/>
          <w:szCs w:val="28"/>
          <w:lang w:val="sq-AL"/>
        </w:rPr>
        <w:t>R</w:t>
      </w:r>
      <w:r w:rsidR="001E595A">
        <w:rPr>
          <w:b/>
          <w:sz w:val="28"/>
          <w:szCs w:val="28"/>
          <w:lang w:val="sq-AL"/>
        </w:rPr>
        <w:t xml:space="preserve"> </w:t>
      </w:r>
      <w:r w:rsidRPr="00E174A2">
        <w:rPr>
          <w:b/>
          <w:sz w:val="28"/>
          <w:szCs w:val="28"/>
          <w:lang w:val="sq-AL"/>
        </w:rPr>
        <w:t>E</w:t>
      </w:r>
      <w:r w:rsidR="001E595A">
        <w:rPr>
          <w:b/>
          <w:sz w:val="28"/>
          <w:szCs w:val="28"/>
          <w:lang w:val="sq-AL"/>
        </w:rPr>
        <w:t xml:space="preserve"> </w:t>
      </w:r>
      <w:r w:rsidRPr="00E174A2">
        <w:rPr>
          <w:b/>
          <w:sz w:val="28"/>
          <w:szCs w:val="28"/>
          <w:lang w:val="sq-AL"/>
        </w:rPr>
        <w:t>L</w:t>
      </w:r>
      <w:r w:rsidR="001E595A">
        <w:rPr>
          <w:b/>
          <w:sz w:val="28"/>
          <w:szCs w:val="28"/>
          <w:lang w:val="sq-AL"/>
        </w:rPr>
        <w:t xml:space="preserve"> </w:t>
      </w:r>
      <w:r w:rsidRPr="00E174A2">
        <w:rPr>
          <w:b/>
          <w:sz w:val="28"/>
          <w:szCs w:val="28"/>
          <w:lang w:val="sq-AL"/>
        </w:rPr>
        <w:t>A</w:t>
      </w:r>
      <w:r w:rsidR="001E595A">
        <w:rPr>
          <w:b/>
          <w:sz w:val="28"/>
          <w:szCs w:val="28"/>
          <w:lang w:val="sq-AL"/>
        </w:rPr>
        <w:t xml:space="preserve"> </w:t>
      </w:r>
      <w:r w:rsidRPr="00E174A2">
        <w:rPr>
          <w:b/>
          <w:sz w:val="28"/>
          <w:szCs w:val="28"/>
          <w:lang w:val="sq-AL"/>
        </w:rPr>
        <w:t>C</w:t>
      </w:r>
      <w:r w:rsidR="001E595A">
        <w:rPr>
          <w:b/>
          <w:sz w:val="28"/>
          <w:szCs w:val="28"/>
          <w:lang w:val="sq-AL"/>
        </w:rPr>
        <w:t xml:space="preserve"> </w:t>
      </w:r>
      <w:r w:rsidRPr="00E174A2">
        <w:rPr>
          <w:b/>
          <w:sz w:val="28"/>
          <w:szCs w:val="28"/>
          <w:lang w:val="sq-AL"/>
        </w:rPr>
        <w:t>I</w:t>
      </w:r>
      <w:r w:rsidR="001E595A">
        <w:rPr>
          <w:b/>
          <w:sz w:val="28"/>
          <w:szCs w:val="28"/>
          <w:lang w:val="sq-AL"/>
        </w:rPr>
        <w:t xml:space="preserve"> </w:t>
      </w:r>
      <w:r w:rsidRPr="00E174A2">
        <w:rPr>
          <w:b/>
          <w:sz w:val="28"/>
          <w:szCs w:val="28"/>
          <w:lang w:val="sq-AL"/>
        </w:rPr>
        <w:t>O</w:t>
      </w:r>
      <w:r w:rsidR="001E595A">
        <w:rPr>
          <w:b/>
          <w:sz w:val="28"/>
          <w:szCs w:val="28"/>
          <w:lang w:val="sq-AL"/>
        </w:rPr>
        <w:t xml:space="preserve"> </w:t>
      </w:r>
      <w:r w:rsidRPr="00E174A2">
        <w:rPr>
          <w:b/>
          <w:sz w:val="28"/>
          <w:szCs w:val="28"/>
          <w:lang w:val="sq-AL"/>
        </w:rPr>
        <w:t>N</w:t>
      </w:r>
    </w:p>
    <w:p w14:paraId="7B66D4A5" w14:textId="77777777" w:rsidR="009D62AB" w:rsidRPr="00E174A2" w:rsidRDefault="009D62AB" w:rsidP="009D62AB">
      <w:pPr>
        <w:jc w:val="center"/>
        <w:rPr>
          <w:b/>
          <w:sz w:val="28"/>
          <w:szCs w:val="28"/>
          <w:lang w:val="sq-AL"/>
        </w:rPr>
      </w:pPr>
    </w:p>
    <w:p w14:paraId="32F8C603" w14:textId="77777777" w:rsidR="009D62AB" w:rsidRPr="00E174A2" w:rsidRDefault="009D62AB" w:rsidP="009D62AB">
      <w:pPr>
        <w:pStyle w:val="BodyTextIndent3"/>
        <w:spacing w:after="0"/>
        <w:ind w:left="0"/>
        <w:jc w:val="center"/>
        <w:rPr>
          <w:b/>
          <w:sz w:val="28"/>
          <w:szCs w:val="28"/>
          <w:lang w:val="sq-AL"/>
        </w:rPr>
      </w:pPr>
      <w:r w:rsidRPr="00E174A2">
        <w:rPr>
          <w:b/>
          <w:sz w:val="28"/>
          <w:szCs w:val="28"/>
          <w:lang w:val="sq-AL"/>
        </w:rPr>
        <w:t xml:space="preserve">PËR </w:t>
      </w:r>
    </w:p>
    <w:p w14:paraId="0CD1358A" w14:textId="77777777" w:rsidR="009D62AB" w:rsidRPr="00E174A2" w:rsidRDefault="009D62AB" w:rsidP="009D62AB">
      <w:pPr>
        <w:pStyle w:val="BodyTextIndent3"/>
        <w:spacing w:after="0"/>
        <w:ind w:left="0"/>
        <w:jc w:val="center"/>
        <w:rPr>
          <w:b/>
          <w:sz w:val="28"/>
          <w:szCs w:val="28"/>
          <w:lang w:val="sq-AL"/>
        </w:rPr>
      </w:pPr>
    </w:p>
    <w:p w14:paraId="48DFBB3E" w14:textId="23148108" w:rsidR="001E595A" w:rsidRDefault="009D62AB" w:rsidP="009D62AB">
      <w:pPr>
        <w:pStyle w:val="BodyTextIndent3"/>
        <w:spacing w:after="0"/>
        <w:ind w:left="0"/>
        <w:jc w:val="center"/>
        <w:rPr>
          <w:b/>
          <w:sz w:val="28"/>
          <w:szCs w:val="28"/>
          <w:u w:val="single"/>
          <w:lang w:val="sq-AL"/>
        </w:rPr>
      </w:pPr>
      <w:r w:rsidRPr="001E595A">
        <w:rPr>
          <w:b/>
          <w:sz w:val="28"/>
          <w:szCs w:val="28"/>
          <w:u w:val="single"/>
          <w:lang w:val="sq-AL"/>
        </w:rPr>
        <w:t>PROJEKTLIGJIN “PËR DISA NDRYSHIME NË LIGJIN NR.61/2012</w:t>
      </w:r>
      <w:r w:rsidR="001E595A">
        <w:rPr>
          <w:b/>
          <w:sz w:val="28"/>
          <w:szCs w:val="28"/>
          <w:u w:val="single"/>
          <w:lang w:val="sq-AL"/>
        </w:rPr>
        <w:t>,</w:t>
      </w:r>
      <w:r w:rsidRPr="001E595A">
        <w:rPr>
          <w:b/>
          <w:sz w:val="28"/>
          <w:szCs w:val="28"/>
          <w:u w:val="single"/>
          <w:lang w:val="sq-AL"/>
        </w:rPr>
        <w:t xml:space="preserve"> “PËR AKCIZAT NË REPUBLIKËN E SHQIPËRISË”, </w:t>
      </w:r>
    </w:p>
    <w:p w14:paraId="50FF9772" w14:textId="4A1F0520" w:rsidR="009D62AB" w:rsidRPr="001E595A" w:rsidRDefault="009D62AB" w:rsidP="009D62AB">
      <w:pPr>
        <w:pStyle w:val="BodyTextIndent3"/>
        <w:spacing w:after="0"/>
        <w:ind w:left="0"/>
        <w:jc w:val="center"/>
        <w:rPr>
          <w:b/>
          <w:sz w:val="28"/>
          <w:szCs w:val="28"/>
          <w:u w:val="single"/>
          <w:lang w:val="sq-AL"/>
        </w:rPr>
      </w:pPr>
      <w:r w:rsidRPr="001E595A">
        <w:rPr>
          <w:b/>
          <w:sz w:val="28"/>
          <w:szCs w:val="28"/>
          <w:u w:val="single"/>
          <w:lang w:val="sq-AL"/>
        </w:rPr>
        <w:t>TË NDRYSHUAR”</w:t>
      </w:r>
    </w:p>
    <w:p w14:paraId="7861BF9C" w14:textId="77777777" w:rsidR="009D62AB" w:rsidRPr="00E174A2" w:rsidRDefault="009D62AB" w:rsidP="009D62AB">
      <w:pPr>
        <w:pStyle w:val="BodyTextIndent3"/>
        <w:spacing w:after="0"/>
        <w:ind w:left="0"/>
        <w:jc w:val="center"/>
        <w:rPr>
          <w:b/>
          <w:sz w:val="28"/>
          <w:szCs w:val="28"/>
          <w:lang w:val="sq-AL"/>
        </w:rPr>
      </w:pPr>
    </w:p>
    <w:p w14:paraId="5900C3A6" w14:textId="77777777" w:rsidR="009D62AB" w:rsidRPr="00E174A2" w:rsidRDefault="009D62AB" w:rsidP="009D62AB">
      <w:pPr>
        <w:pStyle w:val="BodyTextIndent3"/>
        <w:spacing w:after="0"/>
        <w:ind w:left="0"/>
        <w:jc w:val="both"/>
        <w:rPr>
          <w:sz w:val="28"/>
          <w:szCs w:val="28"/>
          <w:lang w:val="sq-AL"/>
        </w:rPr>
      </w:pPr>
    </w:p>
    <w:p w14:paraId="5BA63060" w14:textId="77777777" w:rsidR="00363708" w:rsidRDefault="009D62AB" w:rsidP="009D62AB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sq-AL"/>
        </w:rPr>
      </w:pPr>
      <w:r w:rsidRPr="00E174A2">
        <w:rPr>
          <w:b/>
          <w:sz w:val="28"/>
          <w:szCs w:val="28"/>
          <w:lang w:val="sq-AL"/>
        </w:rPr>
        <w:t xml:space="preserve">QËLLIMI I PROJEKTLIGJIT DHE OBJEKTIVAT QË SYNOHEN </w:t>
      </w:r>
    </w:p>
    <w:p w14:paraId="0D5E9A70" w14:textId="7531620A" w:rsidR="009D62AB" w:rsidRDefault="00363708" w:rsidP="00363708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</w:t>
      </w:r>
      <w:r w:rsidR="009D62AB" w:rsidRPr="00E174A2">
        <w:rPr>
          <w:b/>
          <w:sz w:val="28"/>
          <w:szCs w:val="28"/>
          <w:lang w:val="sq-AL"/>
        </w:rPr>
        <w:t xml:space="preserve">TË ARRIHEN </w:t>
      </w:r>
    </w:p>
    <w:p w14:paraId="028B083B" w14:textId="77777777" w:rsidR="00363708" w:rsidRPr="00E174A2" w:rsidRDefault="00363708" w:rsidP="00363708">
      <w:pPr>
        <w:jc w:val="both"/>
        <w:rPr>
          <w:b/>
          <w:sz w:val="28"/>
          <w:szCs w:val="28"/>
          <w:lang w:val="sq-AL"/>
        </w:rPr>
      </w:pPr>
    </w:p>
    <w:p w14:paraId="01577A15" w14:textId="5D0C3818" w:rsidR="009D62AB" w:rsidRPr="00E174A2" w:rsidRDefault="009D62AB" w:rsidP="009D62AB">
      <w:pPr>
        <w:tabs>
          <w:tab w:val="left" w:pos="720"/>
        </w:tabs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Përgatitja e projektligjit “Për disa ndryshime në ligjin nr.61/2012</w:t>
      </w:r>
      <w:r w:rsidR="00363708">
        <w:rPr>
          <w:sz w:val="28"/>
          <w:szCs w:val="28"/>
          <w:lang w:val="sq-AL"/>
        </w:rPr>
        <w:t>,</w:t>
      </w:r>
      <w:r w:rsidRPr="00E174A2">
        <w:rPr>
          <w:sz w:val="28"/>
          <w:szCs w:val="28"/>
          <w:lang w:val="sq-AL"/>
        </w:rPr>
        <w:t xml:space="preserve"> “Për akcizat në Republi</w:t>
      </w:r>
      <w:r w:rsidR="00363708">
        <w:rPr>
          <w:sz w:val="28"/>
          <w:szCs w:val="28"/>
          <w:lang w:val="sq-AL"/>
        </w:rPr>
        <w:t>kën e Shqipërisë”, të ndryshuar,</w:t>
      </w:r>
      <w:r w:rsidRPr="00E174A2">
        <w:rPr>
          <w:sz w:val="28"/>
          <w:szCs w:val="28"/>
          <w:lang w:val="sq-AL"/>
        </w:rPr>
        <w:t xml:space="preserve"> është mbështetur në nenet 78, 83</w:t>
      </w:r>
      <w:r w:rsidR="00363708">
        <w:rPr>
          <w:sz w:val="28"/>
          <w:szCs w:val="28"/>
          <w:lang w:val="sq-AL"/>
        </w:rPr>
        <w:t>,</w:t>
      </w:r>
      <w:r w:rsidRPr="00E174A2">
        <w:rPr>
          <w:sz w:val="28"/>
          <w:szCs w:val="28"/>
          <w:lang w:val="sq-AL"/>
        </w:rPr>
        <w:t xml:space="preserve"> pika 1, dhe 155, të Kushtetutës.</w:t>
      </w:r>
    </w:p>
    <w:p w14:paraId="13F31E5F" w14:textId="77777777" w:rsidR="009D62AB" w:rsidRPr="00E174A2" w:rsidRDefault="009D62AB" w:rsidP="009D62AB">
      <w:pPr>
        <w:rPr>
          <w:sz w:val="28"/>
          <w:szCs w:val="28"/>
          <w:lang w:val="sq-AL"/>
        </w:rPr>
      </w:pPr>
    </w:p>
    <w:p w14:paraId="38D0DF50" w14:textId="1C9E9EBC" w:rsidR="00363708" w:rsidRDefault="009D62AB" w:rsidP="009D62AB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sq-AL"/>
        </w:rPr>
      </w:pPr>
      <w:r w:rsidRPr="00E174A2">
        <w:rPr>
          <w:b/>
          <w:sz w:val="28"/>
          <w:szCs w:val="28"/>
          <w:lang w:val="sq-AL"/>
        </w:rPr>
        <w:t>VLERËSIMI I PROJEKT</w:t>
      </w:r>
      <w:r w:rsidR="00BD30DB">
        <w:rPr>
          <w:b/>
          <w:sz w:val="28"/>
          <w:szCs w:val="28"/>
          <w:lang w:val="sq-AL"/>
        </w:rPr>
        <w:t>AKTIT</w:t>
      </w:r>
      <w:r w:rsidRPr="00E174A2">
        <w:rPr>
          <w:b/>
          <w:sz w:val="28"/>
          <w:szCs w:val="28"/>
          <w:lang w:val="sq-AL"/>
        </w:rPr>
        <w:t xml:space="preserve"> NË RAPORT ME PROGRAMIN </w:t>
      </w:r>
    </w:p>
    <w:p w14:paraId="49F0B08F" w14:textId="77777777" w:rsidR="00363708" w:rsidRDefault="00363708" w:rsidP="00363708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</w:t>
      </w:r>
      <w:r w:rsidR="009D62AB" w:rsidRPr="00E174A2">
        <w:rPr>
          <w:b/>
          <w:sz w:val="28"/>
          <w:szCs w:val="28"/>
          <w:lang w:val="sq-AL"/>
        </w:rPr>
        <w:t xml:space="preserve">POLITIK TË KËSHILLIT TË MINISTRAVE, ME PROGRAMIN </w:t>
      </w:r>
    </w:p>
    <w:p w14:paraId="3A89EAFF" w14:textId="77777777" w:rsidR="00363708" w:rsidRDefault="00363708" w:rsidP="00363708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</w:t>
      </w:r>
      <w:r w:rsidR="009D62AB" w:rsidRPr="00E174A2">
        <w:rPr>
          <w:b/>
          <w:sz w:val="28"/>
          <w:szCs w:val="28"/>
          <w:lang w:val="sq-AL"/>
        </w:rPr>
        <w:t xml:space="preserve">ANALITIK TË AKTEVE DHE DOKUMENTE TË TJERA </w:t>
      </w:r>
    </w:p>
    <w:p w14:paraId="70E0D277" w14:textId="190B7BC2" w:rsidR="009D62AB" w:rsidRPr="00E174A2" w:rsidRDefault="00363708" w:rsidP="00363708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</w:t>
      </w:r>
      <w:r w:rsidR="009D62AB" w:rsidRPr="00E174A2">
        <w:rPr>
          <w:b/>
          <w:sz w:val="28"/>
          <w:szCs w:val="28"/>
          <w:lang w:val="sq-AL"/>
        </w:rPr>
        <w:t>POLITIKE</w:t>
      </w:r>
    </w:p>
    <w:p w14:paraId="7BF70E29" w14:textId="77777777" w:rsidR="009D62AB" w:rsidRPr="00E174A2" w:rsidRDefault="009D62AB" w:rsidP="009D62AB">
      <w:pPr>
        <w:jc w:val="both"/>
        <w:rPr>
          <w:b/>
          <w:sz w:val="28"/>
          <w:szCs w:val="28"/>
          <w:lang w:val="sq-AL"/>
        </w:rPr>
      </w:pPr>
    </w:p>
    <w:p w14:paraId="4FE724EB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Ky projektligj nuk është pjesë e programit politik.</w:t>
      </w:r>
    </w:p>
    <w:p w14:paraId="7180261B" w14:textId="77777777" w:rsidR="009D62AB" w:rsidRPr="00E174A2" w:rsidRDefault="009D62AB" w:rsidP="009D62AB">
      <w:pPr>
        <w:jc w:val="both"/>
        <w:rPr>
          <w:b/>
          <w:sz w:val="28"/>
          <w:szCs w:val="28"/>
          <w:lang w:val="sq-AL"/>
        </w:rPr>
      </w:pPr>
    </w:p>
    <w:p w14:paraId="68977660" w14:textId="77777777" w:rsidR="00363708" w:rsidRDefault="009D62AB" w:rsidP="009D62AB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sq-AL"/>
        </w:rPr>
      </w:pPr>
      <w:r w:rsidRPr="00E174A2">
        <w:rPr>
          <w:b/>
          <w:sz w:val="28"/>
          <w:szCs w:val="28"/>
          <w:lang w:val="sq-AL"/>
        </w:rPr>
        <w:t xml:space="preserve">ARGUMENTIMI I PROJEKTLIGJIT LIDHUR ME </w:t>
      </w:r>
    </w:p>
    <w:p w14:paraId="5C42D8BC" w14:textId="7B5D605F" w:rsidR="009D62AB" w:rsidRPr="00E174A2" w:rsidRDefault="00363708" w:rsidP="00363708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</w:t>
      </w:r>
      <w:r w:rsidR="009D62AB" w:rsidRPr="00E174A2">
        <w:rPr>
          <w:b/>
          <w:sz w:val="28"/>
          <w:szCs w:val="28"/>
          <w:lang w:val="sq-AL"/>
        </w:rPr>
        <w:t xml:space="preserve">PËRPARËSITË, PROBLEMATIKAT, EFEKTET E PRITSHME </w:t>
      </w:r>
    </w:p>
    <w:p w14:paraId="0B81991D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05DBA7D5" w14:textId="353860E6" w:rsidR="009D62AB" w:rsidRPr="00E174A2" w:rsidRDefault="009D62AB" w:rsidP="009D62AB">
      <w:pPr>
        <w:pStyle w:val="Default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Nga data 1 janar 2014, pijet energjike u trajtuan si produkte me akcizë</w:t>
      </w:r>
      <w:r w:rsidR="00363708">
        <w:rPr>
          <w:sz w:val="28"/>
          <w:szCs w:val="28"/>
          <w:lang w:val="sq-AL"/>
        </w:rPr>
        <w:t>,</w:t>
      </w:r>
      <w:r w:rsidRPr="00E174A2">
        <w:rPr>
          <w:sz w:val="28"/>
          <w:szCs w:val="28"/>
          <w:lang w:val="sq-AL"/>
        </w:rPr>
        <w:t xml:space="preserve"> në masën 50 lek/litri. Për shkak të vështirësive në zbatim nga administrata doganore propozohet të hiqen pijet energjike si produkt</w:t>
      </w:r>
      <w:r w:rsidR="00363708">
        <w:rPr>
          <w:sz w:val="28"/>
          <w:szCs w:val="28"/>
          <w:lang w:val="sq-AL"/>
        </w:rPr>
        <w:t>e</w:t>
      </w:r>
      <w:r w:rsidRPr="00E174A2">
        <w:rPr>
          <w:sz w:val="28"/>
          <w:szCs w:val="28"/>
          <w:lang w:val="sq-AL"/>
        </w:rPr>
        <w:t xml:space="preserve"> me akcizë.</w:t>
      </w:r>
    </w:p>
    <w:p w14:paraId="7869D347" w14:textId="77777777" w:rsidR="009D62AB" w:rsidRPr="00E174A2" w:rsidRDefault="009D62AB" w:rsidP="009D62AB">
      <w:pPr>
        <w:rPr>
          <w:sz w:val="28"/>
          <w:szCs w:val="28"/>
          <w:lang w:val="sq-AL"/>
        </w:rPr>
      </w:pPr>
    </w:p>
    <w:p w14:paraId="4EEA372A" w14:textId="7A798A5D" w:rsidR="00363708" w:rsidRDefault="009D62AB" w:rsidP="009D62AB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sq-AL"/>
        </w:rPr>
      </w:pPr>
      <w:r w:rsidRPr="00E174A2">
        <w:rPr>
          <w:b/>
          <w:sz w:val="28"/>
          <w:szCs w:val="28"/>
          <w:lang w:val="sq-AL"/>
        </w:rPr>
        <w:t xml:space="preserve">VLERËSIMI I LIGJSHMËRISË, KUSHTETUESHMËRISË DHE </w:t>
      </w:r>
    </w:p>
    <w:p w14:paraId="478A3A30" w14:textId="77777777" w:rsidR="00363708" w:rsidRDefault="00363708" w:rsidP="00363708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</w:t>
      </w:r>
      <w:r w:rsidR="009D62AB" w:rsidRPr="00E174A2">
        <w:rPr>
          <w:b/>
          <w:sz w:val="28"/>
          <w:szCs w:val="28"/>
          <w:lang w:val="sq-AL"/>
        </w:rPr>
        <w:t xml:space="preserve">HARMONIZIMI ME LEGJISLACIONIN NË FUQI VENDAS E </w:t>
      </w:r>
    </w:p>
    <w:p w14:paraId="0EDB3B1D" w14:textId="66D9FB4D" w:rsidR="009D62AB" w:rsidRPr="00E174A2" w:rsidRDefault="00363708" w:rsidP="00363708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</w:t>
      </w:r>
      <w:r w:rsidR="009D62AB" w:rsidRPr="00E174A2">
        <w:rPr>
          <w:b/>
          <w:sz w:val="28"/>
          <w:szCs w:val="28"/>
          <w:lang w:val="sq-AL"/>
        </w:rPr>
        <w:t xml:space="preserve">NDËRKOMBËTAR </w:t>
      </w:r>
    </w:p>
    <w:p w14:paraId="0B7785CE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0354E125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Projektligji është mbështetur në nenet 78, 83 pika 1, dhe nenit 155, të Kushtetutës.</w:t>
      </w:r>
    </w:p>
    <w:p w14:paraId="4A0317DC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0445C266" w14:textId="77777777" w:rsidR="00BD30DB" w:rsidRDefault="009D62AB" w:rsidP="009D62AB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sq-AL"/>
        </w:rPr>
      </w:pPr>
      <w:r w:rsidRPr="00E174A2">
        <w:rPr>
          <w:b/>
          <w:sz w:val="28"/>
          <w:szCs w:val="28"/>
          <w:lang w:val="sq-AL"/>
        </w:rPr>
        <w:t xml:space="preserve">VLERËSIMI I SHKALLËS SË PËRAFRIMIT ME ACQUIS </w:t>
      </w:r>
    </w:p>
    <w:p w14:paraId="73B72D48" w14:textId="51F7245D" w:rsidR="009D62AB" w:rsidRPr="00E174A2" w:rsidRDefault="00BD30DB" w:rsidP="00BD30DB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</w:t>
      </w:r>
      <w:r w:rsidR="009D62AB" w:rsidRPr="00E174A2">
        <w:rPr>
          <w:b/>
          <w:sz w:val="28"/>
          <w:szCs w:val="28"/>
          <w:lang w:val="sq-AL"/>
        </w:rPr>
        <w:t>COMMUNAUITAIRE (PËR PROJEKT</w:t>
      </w:r>
      <w:r>
        <w:rPr>
          <w:b/>
          <w:sz w:val="28"/>
          <w:szCs w:val="28"/>
          <w:lang w:val="sq-AL"/>
        </w:rPr>
        <w:t>AKTIT</w:t>
      </w:r>
      <w:r w:rsidR="009D62AB" w:rsidRPr="00E174A2">
        <w:rPr>
          <w:b/>
          <w:sz w:val="28"/>
          <w:szCs w:val="28"/>
          <w:lang w:val="sq-AL"/>
        </w:rPr>
        <w:t xml:space="preserve"> NORMATIVE)</w:t>
      </w:r>
    </w:p>
    <w:p w14:paraId="5551259B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251C8E4A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Ky projektligj nuk propozohet në kuadër të përafrimit me legjislacionin evropian.</w:t>
      </w:r>
    </w:p>
    <w:p w14:paraId="538B84B3" w14:textId="77777777" w:rsidR="009D62AB" w:rsidRDefault="009D62AB" w:rsidP="009D62AB">
      <w:pPr>
        <w:jc w:val="both"/>
        <w:rPr>
          <w:b/>
          <w:sz w:val="28"/>
          <w:szCs w:val="28"/>
          <w:lang w:val="sq-AL"/>
        </w:rPr>
      </w:pPr>
    </w:p>
    <w:p w14:paraId="113AE725" w14:textId="77777777" w:rsidR="00BD30DB" w:rsidRDefault="00BD30DB" w:rsidP="009D62AB">
      <w:pPr>
        <w:jc w:val="both"/>
        <w:rPr>
          <w:b/>
          <w:sz w:val="28"/>
          <w:szCs w:val="28"/>
          <w:lang w:val="sq-AL"/>
        </w:rPr>
      </w:pPr>
    </w:p>
    <w:p w14:paraId="1BC22460" w14:textId="77777777" w:rsidR="00BD30DB" w:rsidRPr="00E174A2" w:rsidRDefault="00BD30DB" w:rsidP="009D62AB">
      <w:pPr>
        <w:jc w:val="both"/>
        <w:rPr>
          <w:b/>
          <w:sz w:val="28"/>
          <w:szCs w:val="28"/>
          <w:lang w:val="sq-AL"/>
        </w:rPr>
      </w:pPr>
    </w:p>
    <w:p w14:paraId="01FA379E" w14:textId="77777777" w:rsidR="00BD30DB" w:rsidRDefault="009D62AB" w:rsidP="009D62AB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sq-AL"/>
        </w:rPr>
      </w:pPr>
      <w:r w:rsidRPr="00E174A2">
        <w:rPr>
          <w:b/>
          <w:sz w:val="28"/>
          <w:szCs w:val="28"/>
          <w:lang w:val="sq-AL"/>
        </w:rPr>
        <w:t xml:space="preserve"> PËRMBLEDHJE SHPJEGUESE E PËRMBAJTJES SË </w:t>
      </w:r>
    </w:p>
    <w:p w14:paraId="2A6E9C5F" w14:textId="3917EA54" w:rsidR="009D62AB" w:rsidRPr="00E174A2" w:rsidRDefault="00BD30DB" w:rsidP="00BD30DB">
      <w:pPr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           </w:t>
      </w:r>
      <w:r w:rsidR="009D62AB" w:rsidRPr="00E174A2">
        <w:rPr>
          <w:b/>
          <w:sz w:val="28"/>
          <w:szCs w:val="28"/>
          <w:lang w:val="sq-AL"/>
        </w:rPr>
        <w:t xml:space="preserve">PROJEKTAKTIT </w:t>
      </w:r>
    </w:p>
    <w:p w14:paraId="7071BE14" w14:textId="77777777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</w:p>
    <w:p w14:paraId="5695EFBD" w14:textId="77777777" w:rsidR="009D62AB" w:rsidRPr="00E174A2" w:rsidRDefault="009D62AB" w:rsidP="00BD30D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Ky projektligj përmban gjashtë nene, në të cilat propozohet heqja nga përmbajtja e ligjit dhe nga Shtojca e Mallrave të Akcizueshme të produktit “pije energjike” si produkt me akcizë.</w:t>
      </w:r>
    </w:p>
    <w:p w14:paraId="511B03D8" w14:textId="77777777" w:rsidR="009D62AB" w:rsidRPr="00E174A2" w:rsidRDefault="009D62AB" w:rsidP="00BD30D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Pijet energjike u trajtuan si produkt me akcizë nga data 1 janar 2014.</w:t>
      </w:r>
    </w:p>
    <w:p w14:paraId="146F5BAD" w14:textId="43D00EB2" w:rsidR="009D62AB" w:rsidRDefault="009D62AB" w:rsidP="00BD30D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 xml:space="preserve">Akcizimi i pijeve energjike bëhet në bazë të shkronjës </w:t>
      </w:r>
      <w:r w:rsidR="00BD30DB">
        <w:rPr>
          <w:sz w:val="28"/>
          <w:szCs w:val="28"/>
          <w:lang w:val="sq-AL"/>
        </w:rPr>
        <w:t>“ç”,</w:t>
      </w:r>
      <w:r w:rsidRPr="00E174A2">
        <w:rPr>
          <w:sz w:val="28"/>
          <w:szCs w:val="28"/>
          <w:lang w:val="sq-AL"/>
        </w:rPr>
        <w:t xml:space="preserve"> të nenit 2</w:t>
      </w:r>
      <w:r w:rsidR="00BD30DB">
        <w:rPr>
          <w:sz w:val="28"/>
          <w:szCs w:val="28"/>
          <w:lang w:val="sq-AL"/>
        </w:rPr>
        <w:t>,</w:t>
      </w:r>
      <w:r w:rsidRPr="00E174A2">
        <w:rPr>
          <w:sz w:val="28"/>
          <w:szCs w:val="28"/>
          <w:lang w:val="sq-AL"/>
        </w:rPr>
        <w:t xml:space="preserve"> të</w:t>
      </w:r>
      <w:r w:rsidR="00BD30DB">
        <w:rPr>
          <w:sz w:val="28"/>
          <w:szCs w:val="28"/>
          <w:lang w:val="sq-AL"/>
        </w:rPr>
        <w:t xml:space="preserve">          </w:t>
      </w:r>
      <w:r w:rsidRPr="00E174A2">
        <w:rPr>
          <w:sz w:val="28"/>
          <w:szCs w:val="28"/>
          <w:lang w:val="sq-AL"/>
        </w:rPr>
        <w:t xml:space="preserve"> ligjit për akcizat, në të cilin përcaktohet se:</w:t>
      </w:r>
    </w:p>
    <w:p w14:paraId="658558A7" w14:textId="77777777" w:rsidR="00BD30DB" w:rsidRPr="00E174A2" w:rsidRDefault="00BD30DB" w:rsidP="00BD30DB">
      <w:pPr>
        <w:jc w:val="both"/>
        <w:rPr>
          <w:sz w:val="28"/>
          <w:szCs w:val="28"/>
          <w:lang w:val="sq-AL"/>
        </w:rPr>
      </w:pPr>
    </w:p>
    <w:p w14:paraId="0F1CA609" w14:textId="77777777" w:rsidR="009D62AB" w:rsidRDefault="009D62AB" w:rsidP="00BD30DB">
      <w:pPr>
        <w:jc w:val="both"/>
        <w:rPr>
          <w:sz w:val="28"/>
          <w:szCs w:val="28"/>
          <w:lang w:val="sq-AL"/>
        </w:rPr>
      </w:pPr>
      <w:r w:rsidRPr="00BD30DB">
        <w:rPr>
          <w:sz w:val="28"/>
          <w:szCs w:val="28"/>
          <w:lang w:val="sq-AL"/>
        </w:rPr>
        <w:t xml:space="preserve"> “2.  </w:t>
      </w:r>
      <w:r w:rsidRPr="00BD30DB">
        <w:rPr>
          <w:bCs/>
          <w:sz w:val="28"/>
          <w:szCs w:val="28"/>
          <w:lang w:val="sq-AL"/>
        </w:rPr>
        <w:t>“Akcizë”</w:t>
      </w:r>
      <w:r w:rsidRPr="00BD30DB">
        <w:rPr>
          <w:sz w:val="28"/>
          <w:szCs w:val="28"/>
          <w:lang w:val="sq-AL"/>
        </w:rPr>
        <w:t xml:space="preserve"> është një taksë që zbatohet mbi produktet e akcizës, të prodhuara dhe të importuara, që hidhen për konsum në territorin e Republikës së Shqipërisë.</w:t>
      </w:r>
    </w:p>
    <w:p w14:paraId="1FD09802" w14:textId="77777777" w:rsidR="00BD30DB" w:rsidRPr="00BD30DB" w:rsidRDefault="00BD30DB" w:rsidP="00BD30DB">
      <w:pPr>
        <w:jc w:val="both"/>
        <w:rPr>
          <w:sz w:val="28"/>
          <w:szCs w:val="28"/>
          <w:lang w:val="sq-AL"/>
        </w:rPr>
      </w:pPr>
    </w:p>
    <w:p w14:paraId="591A64DC" w14:textId="77777777" w:rsidR="009D62AB" w:rsidRPr="00BD30DB" w:rsidRDefault="009D62AB" w:rsidP="00BD30DB">
      <w:pPr>
        <w:jc w:val="both"/>
        <w:rPr>
          <w:sz w:val="28"/>
          <w:szCs w:val="28"/>
          <w:lang w:val="sq-AL"/>
        </w:rPr>
      </w:pPr>
      <w:r w:rsidRPr="00BD30DB">
        <w:rPr>
          <w:sz w:val="28"/>
          <w:szCs w:val="28"/>
          <w:lang w:val="sq-AL"/>
        </w:rPr>
        <w:tab/>
        <w:t xml:space="preserve">3. </w:t>
      </w:r>
      <w:r w:rsidRPr="00BD30DB">
        <w:rPr>
          <w:bCs/>
          <w:sz w:val="28"/>
          <w:szCs w:val="28"/>
          <w:lang w:val="sq-AL"/>
        </w:rPr>
        <w:t>“Produkte që i nënshtrohen akcizës”</w:t>
      </w:r>
      <w:r w:rsidRPr="00BD30DB">
        <w:rPr>
          <w:sz w:val="28"/>
          <w:szCs w:val="28"/>
          <w:lang w:val="sq-AL"/>
        </w:rPr>
        <w:t xml:space="preserve"> janë:</w:t>
      </w:r>
    </w:p>
    <w:p w14:paraId="649C3199" w14:textId="77777777" w:rsidR="009D62AB" w:rsidRPr="00BD30DB" w:rsidRDefault="009D62AB" w:rsidP="00BD30DB">
      <w:pPr>
        <w:jc w:val="both"/>
        <w:rPr>
          <w:sz w:val="28"/>
          <w:szCs w:val="28"/>
          <w:lang w:val="sq-AL"/>
        </w:rPr>
      </w:pPr>
      <w:r w:rsidRPr="00BD30DB">
        <w:rPr>
          <w:sz w:val="28"/>
          <w:szCs w:val="28"/>
          <w:lang w:val="sq-AL"/>
        </w:rPr>
        <w:tab/>
        <w:t>a) produktet energjetike;</w:t>
      </w:r>
    </w:p>
    <w:p w14:paraId="5727A714" w14:textId="77777777" w:rsidR="009D62AB" w:rsidRPr="00BD30DB" w:rsidRDefault="009D62AB" w:rsidP="00BD30DB">
      <w:pPr>
        <w:jc w:val="both"/>
        <w:rPr>
          <w:sz w:val="28"/>
          <w:szCs w:val="28"/>
          <w:lang w:val="sq-AL"/>
        </w:rPr>
      </w:pPr>
      <w:r w:rsidRPr="00BD30DB">
        <w:rPr>
          <w:sz w:val="28"/>
          <w:szCs w:val="28"/>
          <w:lang w:val="sq-AL"/>
        </w:rPr>
        <w:tab/>
        <w:t xml:space="preserve">b) alkooli dhe pijet alkoolike; </w:t>
      </w:r>
    </w:p>
    <w:p w14:paraId="274184B5" w14:textId="77777777" w:rsidR="009D62AB" w:rsidRPr="00BD30DB" w:rsidRDefault="009D62AB" w:rsidP="00BD30DB">
      <w:pPr>
        <w:jc w:val="both"/>
        <w:rPr>
          <w:sz w:val="28"/>
          <w:szCs w:val="28"/>
          <w:lang w:val="sq-AL"/>
        </w:rPr>
      </w:pPr>
      <w:r w:rsidRPr="00BD30DB">
        <w:rPr>
          <w:sz w:val="28"/>
          <w:szCs w:val="28"/>
          <w:lang w:val="sq-AL"/>
        </w:rPr>
        <w:tab/>
        <w:t>c) duhani e produktet e duhanit;</w:t>
      </w:r>
    </w:p>
    <w:p w14:paraId="178CD073" w14:textId="77777777" w:rsidR="009D62AB" w:rsidRPr="00BD30DB" w:rsidRDefault="009D62AB" w:rsidP="00BD30DB">
      <w:pPr>
        <w:jc w:val="both"/>
        <w:rPr>
          <w:sz w:val="28"/>
          <w:szCs w:val="28"/>
          <w:lang w:val="sq-AL"/>
        </w:rPr>
      </w:pPr>
      <w:r w:rsidRPr="00BD30DB">
        <w:rPr>
          <w:sz w:val="28"/>
          <w:szCs w:val="28"/>
          <w:lang w:val="sq-AL"/>
        </w:rPr>
        <w:tab/>
        <w:t>ç) produktet e tjera, të përcaktuara nga ky ligj.</w:t>
      </w:r>
    </w:p>
    <w:p w14:paraId="10258434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0A4D69C1" w14:textId="01E06D9C" w:rsidR="009D62AB" w:rsidRPr="00E174A2" w:rsidRDefault="009D62AB" w:rsidP="009D62A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Në bazë të të dhënave të administratës doganore, për 9</w:t>
      </w:r>
      <w:r w:rsidR="00BD30DB">
        <w:rPr>
          <w:sz w:val="28"/>
          <w:szCs w:val="28"/>
          <w:lang w:val="sq-AL"/>
        </w:rPr>
        <w:t xml:space="preserve"> - m</w:t>
      </w:r>
      <w:r w:rsidRPr="00E174A2">
        <w:rPr>
          <w:sz w:val="28"/>
          <w:szCs w:val="28"/>
          <w:lang w:val="sq-AL"/>
        </w:rPr>
        <w:t xml:space="preserve">ujorin 2014 janë importuar 3339 ton pije energjike dhe janë prodhuar brenda vendit 992 ton. Aktualisht </w:t>
      </w:r>
      <w:r w:rsidR="00BD30DB" w:rsidRPr="00E174A2">
        <w:rPr>
          <w:sz w:val="28"/>
          <w:szCs w:val="28"/>
          <w:lang w:val="sq-AL"/>
        </w:rPr>
        <w:t xml:space="preserve">nga kjo akcizë </w:t>
      </w:r>
      <w:r w:rsidRPr="00E174A2">
        <w:rPr>
          <w:sz w:val="28"/>
          <w:szCs w:val="28"/>
          <w:lang w:val="sq-AL"/>
        </w:rPr>
        <w:t xml:space="preserve">janë vjelur rreth 216 milionë lekë dhe vlerësohet që për gjithë vitin 2014 do të mblidhen rreth 282 milionë lekë. </w:t>
      </w:r>
    </w:p>
    <w:p w14:paraId="56DEC0B1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tbl>
      <w:tblPr>
        <w:tblW w:w="9045" w:type="dxa"/>
        <w:tblInd w:w="98" w:type="dxa"/>
        <w:tblLook w:val="04A0" w:firstRow="1" w:lastRow="0" w:firstColumn="1" w:lastColumn="0" w:noHBand="0" w:noVBand="1"/>
      </w:tblPr>
      <w:tblGrid>
        <w:gridCol w:w="2744"/>
        <w:gridCol w:w="1598"/>
        <w:gridCol w:w="1899"/>
        <w:gridCol w:w="1327"/>
        <w:gridCol w:w="1477"/>
      </w:tblGrid>
      <w:tr w:rsidR="009D62AB" w:rsidRPr="00E174A2" w14:paraId="22D341AB" w14:textId="77777777" w:rsidTr="00C02E5A">
        <w:trPr>
          <w:trHeight w:val="1215"/>
        </w:trPr>
        <w:tc>
          <w:tcPr>
            <w:tcW w:w="27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3A932D41" w14:textId="77777777" w:rsidR="009D62AB" w:rsidRPr="00E174A2" w:rsidRDefault="009D62AB" w:rsidP="00C02E5A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Muajt</w:t>
            </w:r>
          </w:p>
          <w:p w14:paraId="3B3BE01E" w14:textId="77777777" w:rsidR="009D62AB" w:rsidRPr="00E174A2" w:rsidRDefault="009D62AB" w:rsidP="00C02E5A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3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14:paraId="0311C002" w14:textId="77777777" w:rsidR="009D62AB" w:rsidRPr="00E174A2" w:rsidRDefault="009D62AB" w:rsidP="00C02E5A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 Pije Energjike Import   </w:t>
            </w:r>
          </w:p>
        </w:tc>
        <w:tc>
          <w:tcPr>
            <w:tcW w:w="2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14:paraId="5AFFCFC9" w14:textId="77777777" w:rsidR="009D62AB" w:rsidRPr="00E174A2" w:rsidRDefault="009D62AB" w:rsidP="00C02E5A">
            <w:pPr>
              <w:jc w:val="center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 Pije Energjike  Deklaruar me DSHA </w:t>
            </w:r>
          </w:p>
        </w:tc>
      </w:tr>
      <w:tr w:rsidR="009D62AB" w:rsidRPr="00E174A2" w14:paraId="57296D9B" w14:textId="77777777" w:rsidTr="00C02E5A">
        <w:trPr>
          <w:trHeight w:val="1111"/>
        </w:trPr>
        <w:tc>
          <w:tcPr>
            <w:tcW w:w="2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D8AF9F7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77A43F16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Ton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3151E55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Akcize e paguar në mijë lekë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0C39A016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mije litra 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9BF338D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Akcize e paguar në mijë lekë</w:t>
            </w:r>
          </w:p>
        </w:tc>
      </w:tr>
      <w:tr w:rsidR="009D62AB" w:rsidRPr="00E174A2" w14:paraId="79BCD1A3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5EB4CA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Janar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8F49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7BE8E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7,619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4207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FC45C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0</w:t>
            </w:r>
          </w:p>
        </w:tc>
      </w:tr>
      <w:tr w:rsidR="009D62AB" w:rsidRPr="00E174A2" w14:paraId="0C12DD5C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C360B6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Shkurt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01C0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EA2892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9,703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52C3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2AE7FE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0</w:t>
            </w:r>
          </w:p>
        </w:tc>
      </w:tr>
      <w:tr w:rsidR="009D62AB" w:rsidRPr="00E174A2" w14:paraId="5DCCF911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C2BCFB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Mars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8C99E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261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BB8379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12,557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80F6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34C90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2,400</w:t>
            </w:r>
          </w:p>
        </w:tc>
      </w:tr>
      <w:tr w:rsidR="009D62AB" w:rsidRPr="00E174A2" w14:paraId="28E092D7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7BE954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Prill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016C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362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4A7822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17,730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F7968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116872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0</w:t>
            </w:r>
          </w:p>
        </w:tc>
      </w:tr>
      <w:tr w:rsidR="009D62AB" w:rsidRPr="00E174A2" w14:paraId="7296C675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6E0923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Maj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1650B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6E5554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9,740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3494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630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0A1364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31,497</w:t>
            </w:r>
          </w:p>
        </w:tc>
      </w:tr>
      <w:tr w:rsidR="009D62AB" w:rsidRPr="00E174A2" w14:paraId="6971071D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D485C42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Qershor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1D39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622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561E53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29,943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317E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5725C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8,591</w:t>
            </w:r>
          </w:p>
        </w:tc>
      </w:tr>
      <w:tr w:rsidR="009D62AB" w:rsidRPr="00E174A2" w14:paraId="0A5A0AE8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02ADF9E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Korrik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8271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403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862548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18,969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1B4B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90C172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4,708</w:t>
            </w:r>
          </w:p>
        </w:tc>
      </w:tr>
      <w:tr w:rsidR="009D62AB" w:rsidRPr="00E174A2" w14:paraId="5AE287D0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612D9D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Gusht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B6E1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453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79D38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22,252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5220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654DD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1,448</w:t>
            </w:r>
          </w:p>
        </w:tc>
      </w:tr>
      <w:tr w:rsidR="009D62AB" w:rsidRPr="00E174A2" w14:paraId="0E103F78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81151F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lastRenderedPageBreak/>
              <w:t xml:space="preserve">Shtator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28F1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687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7387DB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33,802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C264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12408" w14:textId="77777777" w:rsidR="009D62AB" w:rsidRPr="00E174A2" w:rsidRDefault="009D62AB" w:rsidP="00C02E5A">
            <w:pPr>
              <w:jc w:val="right"/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936</w:t>
            </w:r>
          </w:p>
        </w:tc>
      </w:tr>
      <w:tr w:rsidR="009D62AB" w:rsidRPr="00E174A2" w14:paraId="44DE6D22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5F9C1D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Tetor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BCE2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FEF45B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2120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088D6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</w:tr>
      <w:tr w:rsidR="009D62AB" w:rsidRPr="00E174A2" w14:paraId="247F3678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40D80B4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Nëntor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3A94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71AA8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65F2B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0DE10A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</w:tr>
      <w:tr w:rsidR="009D62AB" w:rsidRPr="00E174A2" w14:paraId="73C491D3" w14:textId="77777777" w:rsidTr="00C02E5A">
        <w:trPr>
          <w:trHeight w:val="434"/>
        </w:trPr>
        <w:tc>
          <w:tcPr>
            <w:tcW w:w="2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595A8F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 xml:space="preserve">Dhjetor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E5EE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C8CE53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3174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95E6D0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 </w:t>
            </w:r>
          </w:p>
        </w:tc>
      </w:tr>
      <w:tr w:rsidR="009D62AB" w:rsidRPr="00E174A2" w14:paraId="4839316E" w14:textId="77777777" w:rsidTr="00C02E5A">
        <w:trPr>
          <w:trHeight w:val="60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1B4ACE" w14:textId="77777777" w:rsidR="009D62AB" w:rsidRPr="00E174A2" w:rsidRDefault="009D62AB" w:rsidP="00C02E5A">
            <w:pPr>
              <w:rPr>
                <w:b/>
                <w:bCs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sz w:val="28"/>
                <w:szCs w:val="28"/>
                <w:lang w:val="sq-AL"/>
              </w:rPr>
              <w:t>Progresiv   2014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1A41E" w14:textId="77777777" w:rsidR="009D62AB" w:rsidRPr="00E174A2" w:rsidRDefault="009D62AB" w:rsidP="00C02E5A">
            <w:pPr>
              <w:jc w:val="right"/>
              <w:rPr>
                <w:b/>
                <w:bCs/>
                <w:color w:val="000000"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color w:val="000000"/>
                <w:sz w:val="28"/>
                <w:szCs w:val="28"/>
                <w:lang w:val="sq-AL"/>
              </w:rPr>
              <w:t>3,339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D1E03A" w14:textId="77777777" w:rsidR="009D62AB" w:rsidRPr="00E174A2" w:rsidRDefault="009D62AB" w:rsidP="00C02E5A">
            <w:pPr>
              <w:jc w:val="right"/>
              <w:rPr>
                <w:b/>
                <w:bCs/>
                <w:color w:val="000000"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color w:val="000000"/>
                <w:sz w:val="28"/>
                <w:szCs w:val="28"/>
                <w:lang w:val="sq-AL"/>
              </w:rPr>
              <w:t>162,315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3D5ED" w14:textId="77777777" w:rsidR="009D62AB" w:rsidRPr="00E174A2" w:rsidRDefault="009D62AB" w:rsidP="00C02E5A">
            <w:pPr>
              <w:jc w:val="right"/>
              <w:rPr>
                <w:b/>
                <w:bCs/>
                <w:color w:val="000000"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color w:val="000000"/>
                <w:sz w:val="28"/>
                <w:szCs w:val="28"/>
                <w:lang w:val="sq-AL"/>
              </w:rPr>
              <w:t>992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082E287" w14:textId="77777777" w:rsidR="009D62AB" w:rsidRPr="00E174A2" w:rsidRDefault="009D62AB" w:rsidP="00C02E5A">
            <w:pPr>
              <w:jc w:val="right"/>
              <w:rPr>
                <w:b/>
                <w:bCs/>
                <w:color w:val="000000"/>
                <w:sz w:val="28"/>
                <w:szCs w:val="28"/>
                <w:lang w:val="sq-AL"/>
              </w:rPr>
            </w:pPr>
            <w:r w:rsidRPr="00E174A2">
              <w:rPr>
                <w:b/>
                <w:bCs/>
                <w:color w:val="000000"/>
                <w:sz w:val="28"/>
                <w:szCs w:val="28"/>
                <w:lang w:val="sq-AL"/>
              </w:rPr>
              <w:t>49,580</w:t>
            </w:r>
          </w:p>
        </w:tc>
      </w:tr>
    </w:tbl>
    <w:p w14:paraId="552A2160" w14:textId="77777777" w:rsidR="009D62AB" w:rsidRPr="00E174A2" w:rsidRDefault="009D62AB" w:rsidP="009D62AB">
      <w:pPr>
        <w:jc w:val="both"/>
        <w:rPr>
          <w:i/>
          <w:sz w:val="28"/>
          <w:szCs w:val="28"/>
          <w:lang w:val="sq-AL"/>
        </w:rPr>
      </w:pPr>
      <w:r w:rsidRPr="00E174A2">
        <w:rPr>
          <w:i/>
          <w:sz w:val="28"/>
          <w:szCs w:val="28"/>
          <w:lang w:val="sq-AL"/>
        </w:rPr>
        <w:t>Burimi : Drejtoria e Përgjithshme e Doganave</w:t>
      </w:r>
    </w:p>
    <w:p w14:paraId="4C4F469A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18545CE9" w14:textId="77777777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 xml:space="preserve">Propozimi për heqjen e akcizës së pijeve energjike është se kjo akcizë ka pasur një efekt negativ tek operatorët ekonomikë dhe në deklasifikimin e produkteve energjike. </w:t>
      </w:r>
    </w:p>
    <w:p w14:paraId="777D1DC0" w14:textId="1A130E99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Në bazë të nenit 76</w:t>
      </w:r>
      <w:r w:rsidR="005F7C09">
        <w:rPr>
          <w:sz w:val="28"/>
          <w:szCs w:val="28"/>
          <w:lang w:val="sq-AL"/>
        </w:rPr>
        <w:t>,</w:t>
      </w:r>
      <w:r w:rsidRPr="00E174A2">
        <w:rPr>
          <w:sz w:val="28"/>
          <w:szCs w:val="28"/>
          <w:lang w:val="sq-AL"/>
        </w:rPr>
        <w:t xml:space="preserve"> të ligjit për akcizat, pijet energjike janë pije që klasifikohen në Kodin e Nomenklaturës së Kombinuar të Mallrave 2202 10 00 dhe që kanë në përmbajtje të tyre sasi kafeine të barabartë ose më shumë se 0,03 % të volumit ose përbërësit taurinë, guaranë ose ginsenk.</w:t>
      </w:r>
    </w:p>
    <w:p w14:paraId="15EB370E" w14:textId="7BA99E91" w:rsidR="009D62AB" w:rsidRPr="00E174A2" w:rsidRDefault="009D62AB" w:rsidP="009D62AB">
      <w:pPr>
        <w:contextualSpacing/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Në përcaktimin e pijeve energjike ka shumë elemente teknike</w:t>
      </w:r>
      <w:r w:rsidR="005F7C09">
        <w:rPr>
          <w:sz w:val="28"/>
          <w:szCs w:val="28"/>
          <w:lang w:val="sq-AL"/>
        </w:rPr>
        <w:t>,</w:t>
      </w:r>
      <w:r w:rsidRPr="00E174A2">
        <w:rPr>
          <w:sz w:val="28"/>
          <w:szCs w:val="28"/>
          <w:lang w:val="sq-AL"/>
        </w:rPr>
        <w:t xml:space="preserve"> për të cilat administrata doganore ka pasur vështirësi në klasifikimin e tyre. Më konkretisht, linjat e prodhimit të cilat shëbejnë për prodhimin e produktit “pije energjike”, shërbejnë njëkohësisht edhe për prodhimin e pijeve freskuese</w:t>
      </w:r>
      <w:r w:rsidR="005F7C09">
        <w:rPr>
          <w:sz w:val="28"/>
          <w:szCs w:val="28"/>
          <w:lang w:val="sq-AL"/>
        </w:rPr>
        <w:t>,</w:t>
      </w:r>
      <w:r w:rsidRPr="00E174A2">
        <w:rPr>
          <w:sz w:val="28"/>
          <w:szCs w:val="28"/>
          <w:lang w:val="sq-AL"/>
        </w:rPr>
        <w:t xml:space="preserve"> çka sjell vështirësi në verifikime dhe mbajtje nën kontroll të prodhimit. Element</w:t>
      </w:r>
      <w:r w:rsidR="005F7C09">
        <w:rPr>
          <w:sz w:val="28"/>
          <w:szCs w:val="28"/>
          <w:lang w:val="sq-AL"/>
        </w:rPr>
        <w:t>e</w:t>
      </w:r>
      <w:r w:rsidRPr="00E174A2">
        <w:rPr>
          <w:sz w:val="28"/>
          <w:szCs w:val="28"/>
          <w:lang w:val="sq-AL"/>
        </w:rPr>
        <w:t>t përbërës</w:t>
      </w:r>
      <w:r w:rsidR="005F7C09">
        <w:rPr>
          <w:sz w:val="28"/>
          <w:szCs w:val="28"/>
          <w:lang w:val="sq-AL"/>
        </w:rPr>
        <w:t>e</w:t>
      </w:r>
      <w:r w:rsidRPr="00E174A2">
        <w:rPr>
          <w:sz w:val="28"/>
          <w:szCs w:val="28"/>
          <w:lang w:val="sq-AL"/>
        </w:rPr>
        <w:t xml:space="preserve"> të produktit “pije energjike”, përqindja e të cilëve përcakton nëse produkti është apo jo pije energjike, aktualisht nuk mund të analizohen në laboratorin e Drejtorisë së Përgjithshme të Doganave apo në ndonjë laborator tjetër në Shqipëri.</w:t>
      </w:r>
    </w:p>
    <w:p w14:paraId="7BABC190" w14:textId="77777777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</w:p>
    <w:p w14:paraId="072DBB56" w14:textId="35352347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Përpos kësaj, operatorët ekonomikë kanë ndryshuar klasifikimin e pijeve energjike për të mos u konsideruar si produkte me akcizë, sidomos në import. Kjo ka rezultuar në dëmtim të prodhimit vendas, kosto</w:t>
      </w:r>
      <w:r w:rsidR="005F7C09">
        <w:rPr>
          <w:sz w:val="28"/>
          <w:szCs w:val="28"/>
          <w:lang w:val="sq-AL"/>
        </w:rPr>
        <w:t>ja</w:t>
      </w:r>
      <w:r w:rsidRPr="00E174A2">
        <w:rPr>
          <w:sz w:val="28"/>
          <w:szCs w:val="28"/>
          <w:lang w:val="sq-AL"/>
        </w:rPr>
        <w:t xml:space="preserve"> e të cilit është më e lartë se prodhimi i importit.</w:t>
      </w:r>
    </w:p>
    <w:p w14:paraId="007875D6" w14:textId="0B8096E9" w:rsidR="009D62AB" w:rsidRPr="00E174A2" w:rsidRDefault="009D62AB" w:rsidP="009D62A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Aplikimi i taksës së akcizës prej 50 lekë/litër për pijet energjike ka sjellë rritje direkte të kostos  prej 12.5 lekë/kanaçe 250 ml. Një kanaçe pije energjike prodhim vendas shitet me 80 lekë/copë, dhe një rritje në kosto prej 12.5 lekë/copë, ka ndikuar ndjeshëm në rënien e shitjeve deri në ndërprerje të prodhimit. Ndërsa një kana</w:t>
      </w:r>
      <w:r w:rsidR="005F7C09">
        <w:rPr>
          <w:sz w:val="28"/>
          <w:szCs w:val="28"/>
          <w:lang w:val="sq-AL"/>
        </w:rPr>
        <w:t>ç</w:t>
      </w:r>
      <w:r w:rsidRPr="00E174A2">
        <w:rPr>
          <w:sz w:val="28"/>
          <w:szCs w:val="28"/>
          <w:lang w:val="sq-AL"/>
        </w:rPr>
        <w:t>e pije energjike importi shitet mesatarisht 150 lekë/kanaçe 250 ml, dhe një rritje prej 12.5 lekë/copë nuk ka patur ndikim në rënie të shitjeve të këtij produkti nga importi.</w:t>
      </w:r>
    </w:p>
    <w:p w14:paraId="284D50EF" w14:textId="77777777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</w:p>
    <w:p w14:paraId="3926B186" w14:textId="77777777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</w:p>
    <w:p w14:paraId="5F2A185F" w14:textId="3107D5AF" w:rsidR="005F7C09" w:rsidRPr="005F7C09" w:rsidRDefault="009D62AB" w:rsidP="005F7C09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q-AL"/>
        </w:rPr>
      </w:pPr>
      <w:r w:rsidRPr="005F7C09">
        <w:rPr>
          <w:b/>
          <w:sz w:val="28"/>
          <w:szCs w:val="28"/>
          <w:lang w:val="sq-AL"/>
        </w:rPr>
        <w:t xml:space="preserve">INSTITUCIONET DHE ORGANET QË NGARKOHEN PËR </w:t>
      </w:r>
    </w:p>
    <w:p w14:paraId="580D63CD" w14:textId="61865A70" w:rsidR="009D62AB" w:rsidRPr="00E174A2" w:rsidRDefault="009D62AB" w:rsidP="005F7C09">
      <w:pPr>
        <w:pStyle w:val="ListParagraph"/>
        <w:ind w:left="1080"/>
        <w:jc w:val="both"/>
        <w:rPr>
          <w:b/>
          <w:sz w:val="28"/>
          <w:szCs w:val="28"/>
          <w:lang w:val="sq-AL"/>
        </w:rPr>
      </w:pPr>
      <w:r w:rsidRPr="005F7C09">
        <w:rPr>
          <w:b/>
          <w:sz w:val="28"/>
          <w:szCs w:val="28"/>
          <w:lang w:val="sq-AL"/>
        </w:rPr>
        <w:t xml:space="preserve">ZBATIMIN E </w:t>
      </w:r>
      <w:r w:rsidRPr="00E174A2">
        <w:rPr>
          <w:b/>
          <w:sz w:val="28"/>
          <w:szCs w:val="28"/>
          <w:lang w:val="sq-AL"/>
        </w:rPr>
        <w:t>KËTIJ AKTI</w:t>
      </w:r>
    </w:p>
    <w:p w14:paraId="14BA8678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52C558A6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Për zbatimin e këtij projektligji ngarkohen Ministria e Financave dhe Drejtoria e Përgjithshme e Doganave.</w:t>
      </w:r>
    </w:p>
    <w:p w14:paraId="77E6B4D7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68B48275" w14:textId="33DE5B63" w:rsidR="009D62AB" w:rsidRPr="00DE0F54" w:rsidRDefault="009D62AB" w:rsidP="00DE0F5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q-AL"/>
        </w:rPr>
      </w:pPr>
      <w:r w:rsidRPr="00DE0F54">
        <w:rPr>
          <w:b/>
          <w:sz w:val="28"/>
          <w:szCs w:val="28"/>
          <w:lang w:val="sq-AL"/>
        </w:rPr>
        <w:lastRenderedPageBreak/>
        <w:t xml:space="preserve">PERSONAT DHE INSTITUCIONET QË KANË KONTRIBUAR NË HARTIMIN E PROJEKT-AKTIT </w:t>
      </w:r>
    </w:p>
    <w:p w14:paraId="6FFDA123" w14:textId="77777777" w:rsidR="009D62AB" w:rsidRPr="00E174A2" w:rsidRDefault="009D62AB" w:rsidP="009D62AB">
      <w:pPr>
        <w:rPr>
          <w:sz w:val="28"/>
          <w:szCs w:val="28"/>
          <w:lang w:val="sq-AL"/>
        </w:rPr>
      </w:pPr>
    </w:p>
    <w:p w14:paraId="701BA55C" w14:textId="77777777" w:rsidR="009D62AB" w:rsidRPr="00E174A2" w:rsidRDefault="009D62AB" w:rsidP="009D62AB">
      <w:pPr>
        <w:rPr>
          <w:sz w:val="28"/>
          <w:szCs w:val="28"/>
          <w:lang w:val="sq-AL"/>
        </w:rPr>
      </w:pPr>
      <w:r w:rsidRPr="00E174A2">
        <w:rPr>
          <w:sz w:val="28"/>
          <w:szCs w:val="28"/>
          <w:lang w:val="sq-AL"/>
        </w:rPr>
        <w:t>Ministria e Financave ka draftuar projektligjin.</w:t>
      </w:r>
    </w:p>
    <w:p w14:paraId="6FA3BF1E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77E7D61C" w14:textId="77777777" w:rsidR="009D62AB" w:rsidRPr="00E174A2" w:rsidRDefault="009D62AB" w:rsidP="009D62AB">
      <w:pPr>
        <w:jc w:val="both"/>
        <w:rPr>
          <w:sz w:val="28"/>
          <w:szCs w:val="28"/>
          <w:lang w:val="sq-AL"/>
        </w:rPr>
      </w:pPr>
    </w:p>
    <w:p w14:paraId="140DE5E3" w14:textId="11E922D1" w:rsidR="009D62AB" w:rsidRPr="00DE0F54" w:rsidRDefault="009D62AB" w:rsidP="00DE0F5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q-AL"/>
        </w:rPr>
      </w:pPr>
      <w:r w:rsidRPr="00DE0F54">
        <w:rPr>
          <w:b/>
          <w:sz w:val="28"/>
          <w:szCs w:val="28"/>
          <w:lang w:val="sq-AL"/>
        </w:rPr>
        <w:t xml:space="preserve">RAPORTI I VLERËSIMIT TË TË ARDHURAVE DHE SHPENZIMEVE BUXHETORE </w:t>
      </w:r>
    </w:p>
    <w:p w14:paraId="7438F6B9" w14:textId="77777777" w:rsidR="009D62AB" w:rsidRPr="00E174A2" w:rsidRDefault="009D62AB" w:rsidP="009D62AB">
      <w:pPr>
        <w:jc w:val="both"/>
        <w:rPr>
          <w:noProof/>
          <w:sz w:val="28"/>
          <w:szCs w:val="28"/>
          <w:lang w:val="sq-AL"/>
        </w:rPr>
      </w:pPr>
    </w:p>
    <w:p w14:paraId="485E1F6D" w14:textId="77777777" w:rsidR="009D62AB" w:rsidRPr="00E174A2" w:rsidRDefault="009D62AB" w:rsidP="009D62AB">
      <w:pPr>
        <w:jc w:val="both"/>
        <w:rPr>
          <w:noProof/>
          <w:sz w:val="28"/>
          <w:szCs w:val="28"/>
          <w:lang w:val="sq-AL"/>
        </w:rPr>
      </w:pPr>
      <w:r w:rsidRPr="00E174A2">
        <w:rPr>
          <w:noProof/>
          <w:sz w:val="28"/>
          <w:szCs w:val="28"/>
          <w:lang w:val="sq-AL"/>
        </w:rPr>
        <w:t>Ky projektligj ka një efekt negativ në të ardhurat nga akciza në vlerën 282 milionë lekë, për vitin 2015.</w:t>
      </w:r>
    </w:p>
    <w:p w14:paraId="5DE87B20" w14:textId="77777777" w:rsidR="009D62AB" w:rsidRPr="00E174A2" w:rsidRDefault="009D62AB" w:rsidP="009D62AB">
      <w:pPr>
        <w:jc w:val="both"/>
        <w:rPr>
          <w:noProof/>
          <w:sz w:val="28"/>
          <w:szCs w:val="28"/>
          <w:lang w:val="sq-AL"/>
        </w:rPr>
      </w:pPr>
    </w:p>
    <w:p w14:paraId="3AC8755C" w14:textId="77777777" w:rsidR="009D62AB" w:rsidRPr="00E174A2" w:rsidRDefault="009D62AB" w:rsidP="009D62AB">
      <w:pPr>
        <w:jc w:val="both"/>
        <w:rPr>
          <w:noProof/>
          <w:sz w:val="28"/>
          <w:szCs w:val="28"/>
          <w:lang w:val="sq-AL"/>
        </w:rPr>
      </w:pPr>
    </w:p>
    <w:p w14:paraId="080E77D8" w14:textId="4E3AF3EC" w:rsidR="009D62AB" w:rsidRPr="00DE0F54" w:rsidRDefault="009D62AB" w:rsidP="00DE0F54">
      <w:pPr>
        <w:jc w:val="both"/>
        <w:rPr>
          <w:noProof/>
          <w:sz w:val="28"/>
          <w:szCs w:val="28"/>
          <w:lang w:val="sq-AL"/>
        </w:rPr>
      </w:pPr>
      <w:r w:rsidRPr="00E174A2">
        <w:rPr>
          <w:noProof/>
          <w:sz w:val="28"/>
          <w:szCs w:val="28"/>
          <w:lang w:val="sq-AL"/>
        </w:rPr>
        <w:t xml:space="preserve">  </w:t>
      </w:r>
      <w:r w:rsidRPr="00E174A2">
        <w:rPr>
          <w:sz w:val="28"/>
          <w:szCs w:val="28"/>
          <w:lang w:val="sq-AL"/>
        </w:rPr>
        <w:t xml:space="preserve">                                                                                                           </w:t>
      </w:r>
    </w:p>
    <w:p w14:paraId="2E18471A" w14:textId="7AB0084A" w:rsidR="009D62AB" w:rsidRPr="00E174A2" w:rsidRDefault="00DE0F54" w:rsidP="00DE0F54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K</w:t>
      </w:r>
      <w:r w:rsidRPr="00DE0F54">
        <w:rPr>
          <w:b/>
          <w:sz w:val="28"/>
          <w:szCs w:val="28"/>
          <w:lang w:val="sq-AL"/>
        </w:rPr>
        <w:t>Ë</w:t>
      </w:r>
      <w:r>
        <w:rPr>
          <w:b/>
          <w:sz w:val="28"/>
          <w:szCs w:val="28"/>
          <w:lang w:val="sq-AL"/>
        </w:rPr>
        <w:t>SHILLI I MINISTRAVE</w:t>
      </w:r>
    </w:p>
    <w:p w14:paraId="746C7BAC" w14:textId="77777777" w:rsidR="009D62AB" w:rsidRPr="00E174A2" w:rsidRDefault="009D62AB" w:rsidP="009D62AB">
      <w:pPr>
        <w:pStyle w:val="ListParagraph"/>
        <w:ind w:left="0"/>
        <w:jc w:val="both"/>
        <w:rPr>
          <w:sz w:val="28"/>
          <w:szCs w:val="28"/>
          <w:lang w:val="sq-AL"/>
        </w:rPr>
      </w:pPr>
    </w:p>
    <w:p w14:paraId="00D15D6A" w14:textId="77777777" w:rsidR="009D62AB" w:rsidRPr="00E174A2" w:rsidRDefault="009D62AB" w:rsidP="009D62AB">
      <w:pPr>
        <w:rPr>
          <w:sz w:val="28"/>
          <w:szCs w:val="28"/>
          <w:lang w:val="sq-AL"/>
        </w:rPr>
      </w:pPr>
    </w:p>
    <w:p w14:paraId="559034FA" w14:textId="77777777" w:rsidR="00983260" w:rsidRPr="009D62AB" w:rsidRDefault="00540199" w:rsidP="009D62AB"/>
    <w:sectPr w:rsidR="00983260" w:rsidRPr="009D62AB" w:rsidSect="001158E6">
      <w:footerReference w:type="default" r:id="rId9"/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09D9" w14:textId="77777777" w:rsidR="00540199" w:rsidRDefault="00540199">
      <w:r>
        <w:separator/>
      </w:r>
    </w:p>
  </w:endnote>
  <w:endnote w:type="continuationSeparator" w:id="0">
    <w:p w14:paraId="49201FE9" w14:textId="77777777" w:rsidR="00540199" w:rsidRDefault="0054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38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95C95" w14:textId="77777777" w:rsidR="00BC67A4" w:rsidRDefault="009D62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1BF5C" w14:textId="77777777" w:rsidR="00BC67A4" w:rsidRDefault="00540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5AA10" w14:textId="77777777" w:rsidR="00540199" w:rsidRDefault="00540199">
      <w:r>
        <w:separator/>
      </w:r>
    </w:p>
  </w:footnote>
  <w:footnote w:type="continuationSeparator" w:id="0">
    <w:p w14:paraId="67B2F128" w14:textId="77777777" w:rsidR="00540199" w:rsidRDefault="00540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78D6"/>
    <w:multiLevelType w:val="hybridMultilevel"/>
    <w:tmpl w:val="55A634E0"/>
    <w:lvl w:ilvl="0" w:tplc="5A7A60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6B1C3D"/>
    <w:multiLevelType w:val="hybridMultilevel"/>
    <w:tmpl w:val="1A76898A"/>
    <w:lvl w:ilvl="0" w:tplc="D79C2A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CC"/>
    <w:rsid w:val="00082314"/>
    <w:rsid w:val="00173990"/>
    <w:rsid w:val="001E595A"/>
    <w:rsid w:val="00363708"/>
    <w:rsid w:val="00371221"/>
    <w:rsid w:val="00522443"/>
    <w:rsid w:val="00530044"/>
    <w:rsid w:val="00540199"/>
    <w:rsid w:val="0054393F"/>
    <w:rsid w:val="005F7C09"/>
    <w:rsid w:val="009D62AB"/>
    <w:rsid w:val="00BD30DB"/>
    <w:rsid w:val="00DE0F54"/>
    <w:rsid w:val="00EB17CC"/>
    <w:rsid w:val="00F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3456"/>
  <w15:docId w15:val="{316AFB86-F053-48FD-A68D-262B80A9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4393F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4393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qFormat/>
    <w:rsid w:val="005439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54393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2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0x00D90D723E0AE26042922693D2CF5ADEAF</ContentTypeId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15115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D90D723E0AE26042922693D2CF5ADEAF" ma:contentTypeVersion="" ma:contentTypeDescription="" ma:contentTypeScope="" ma:versionID="4c0b176be8cbae794e4c0b435fc88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75FD6-1464-4AEA-88C1-9E2111FA5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922F43-8423-45DA-94CD-83DA91CF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Relacion shoqerues</vt:lpstr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Relacion shoqerues</dc:title>
  <dc:creator>Zarina Taja</dc:creator>
  <cp:lastModifiedBy>idlir.gjata</cp:lastModifiedBy>
  <cp:revision>2</cp:revision>
  <dcterms:created xsi:type="dcterms:W3CDTF">2014-11-04T13:01:00Z</dcterms:created>
  <dcterms:modified xsi:type="dcterms:W3CDTF">2014-11-04T13:01:00Z</dcterms:modified>
</cp:coreProperties>
</file>